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8E" w:rsidRPr="006850A5" w:rsidRDefault="00BB1722" w:rsidP="00515DC1">
      <w:pPr>
        <w:spacing w:before="120" w:line="276" w:lineRule="auto"/>
        <w:rPr>
          <w:rFonts w:ascii="Arial Mäori" w:hAnsi="Arial Mäori"/>
          <w:lang w:eastAsia="en-GB"/>
        </w:rPr>
      </w:pPr>
      <w:r w:rsidRPr="006850A5">
        <w:rPr>
          <w:rFonts w:ascii="Arial Mäori" w:hAnsi="Arial Mäori"/>
          <w:lang w:eastAsia="en-GB"/>
        </w:rPr>
        <w:t>THE MARINE AND COASTAL AREA (Takutai Moana) ACT 2011 (“</w:t>
      </w:r>
      <w:r>
        <w:rPr>
          <w:rFonts w:ascii="Arial Mäori" w:hAnsi="Arial Mäori"/>
          <w:lang w:eastAsia="en-GB"/>
        </w:rPr>
        <w:t>t</w:t>
      </w:r>
      <w:r w:rsidRPr="006850A5">
        <w:rPr>
          <w:rFonts w:ascii="Arial Mäori" w:hAnsi="Arial Mäori"/>
          <w:lang w:eastAsia="en-GB"/>
        </w:rPr>
        <w:t xml:space="preserve">he Act”) </w:t>
      </w:r>
    </w:p>
    <w:p w:rsidR="000924BB" w:rsidRPr="001612EB" w:rsidRDefault="00150D8E" w:rsidP="00515DC1">
      <w:pPr>
        <w:spacing w:before="120" w:line="276" w:lineRule="auto"/>
        <w:rPr>
          <w:rFonts w:ascii="Arial Mäori" w:hAnsi="Arial Mäori"/>
          <w:b w:val="0"/>
          <w:szCs w:val="22"/>
          <w:lang w:eastAsia="en-GB"/>
        </w:rPr>
      </w:pPr>
      <w:r w:rsidRPr="001612EB">
        <w:rPr>
          <w:rFonts w:ascii="Arial Mäori" w:hAnsi="Arial Mäori"/>
          <w:b w:val="0"/>
          <w:szCs w:val="22"/>
          <w:lang w:eastAsia="en-GB"/>
        </w:rPr>
        <w:t xml:space="preserve">The Act defines the Common Marine Coastal Area and provides for three levels of protection for </w:t>
      </w:r>
      <w:r w:rsidRPr="001612EB">
        <w:rPr>
          <w:rFonts w:ascii="Arial Mäori" w:hAnsi="Arial Mäori" w:cs="Arial Mäori"/>
          <w:b w:val="0"/>
          <w:szCs w:val="22"/>
          <w:lang w:val="en-US" w:eastAsia="en-GB"/>
        </w:rPr>
        <w:t>Māori</w:t>
      </w:r>
      <w:r w:rsidRPr="001612EB">
        <w:rPr>
          <w:rFonts w:ascii="Arial Mäori" w:hAnsi="Arial Mäori"/>
          <w:b w:val="0"/>
          <w:szCs w:val="22"/>
          <w:lang w:eastAsia="en-GB"/>
        </w:rPr>
        <w:t xml:space="preserve"> </w:t>
      </w:r>
      <w:r w:rsidR="00BB1722" w:rsidRPr="001612EB">
        <w:rPr>
          <w:rFonts w:ascii="Arial Mäori" w:hAnsi="Arial Mäori"/>
          <w:b w:val="0"/>
          <w:szCs w:val="22"/>
          <w:lang w:eastAsia="en-GB"/>
        </w:rPr>
        <w:t>customary interests in the CMCA:</w:t>
      </w:r>
    </w:p>
    <w:p w:rsidR="00150D8E" w:rsidRPr="001612EB" w:rsidRDefault="00150D8E" w:rsidP="00BB1722">
      <w:pPr>
        <w:pStyle w:val="ListParagraph"/>
        <w:numPr>
          <w:ilvl w:val="0"/>
          <w:numId w:val="13"/>
        </w:numPr>
        <w:spacing w:before="120" w:line="276" w:lineRule="auto"/>
        <w:ind w:left="426"/>
        <w:rPr>
          <w:rFonts w:ascii="Arial Mäori" w:hAnsi="Arial Mäori"/>
          <w:b w:val="0"/>
          <w:i/>
          <w:szCs w:val="22"/>
          <w:lang w:eastAsia="en-GB"/>
        </w:rPr>
      </w:pPr>
      <w:r w:rsidRPr="001612EB">
        <w:rPr>
          <w:rFonts w:ascii="Arial Mäori" w:hAnsi="Arial Mäori"/>
          <w:b w:val="0"/>
          <w:i/>
          <w:szCs w:val="22"/>
          <w:lang w:eastAsia="en-GB"/>
        </w:rPr>
        <w:t>Participation in</w:t>
      </w:r>
      <w:r w:rsidR="00BB1722" w:rsidRPr="001612EB">
        <w:rPr>
          <w:rFonts w:ascii="Arial Mäori" w:hAnsi="Arial Mäori"/>
          <w:b w:val="0"/>
          <w:i/>
          <w:szCs w:val="22"/>
          <w:lang w:eastAsia="en-GB"/>
        </w:rPr>
        <w:t xml:space="preserve"> conservation processes in CMCA;</w:t>
      </w:r>
    </w:p>
    <w:p w:rsidR="00150D8E" w:rsidRPr="001612EB" w:rsidRDefault="003D48A7" w:rsidP="00BB1722">
      <w:pPr>
        <w:numPr>
          <w:ilvl w:val="0"/>
          <w:numId w:val="13"/>
        </w:numPr>
        <w:spacing w:before="120" w:line="276" w:lineRule="auto"/>
        <w:ind w:left="426"/>
        <w:rPr>
          <w:rFonts w:ascii="Arial Mäori" w:hAnsi="Arial Mäori"/>
          <w:b w:val="0"/>
          <w:i/>
          <w:szCs w:val="22"/>
          <w:lang w:eastAsia="en-GB"/>
        </w:rPr>
      </w:pPr>
      <w:r w:rsidRPr="001612EB">
        <w:rPr>
          <w:rFonts w:ascii="Arial Mäori" w:hAnsi="Arial Mäori"/>
          <w:b w:val="0"/>
          <w:i/>
          <w:szCs w:val="22"/>
          <w:lang w:eastAsia="en-GB"/>
        </w:rPr>
        <w:t>Protected customary rights</w:t>
      </w:r>
      <w:r w:rsidR="00BB1722" w:rsidRPr="001612EB">
        <w:rPr>
          <w:rFonts w:ascii="Arial Mäori" w:hAnsi="Arial Mäori"/>
          <w:b w:val="0"/>
          <w:i/>
          <w:szCs w:val="22"/>
          <w:lang w:eastAsia="en-GB"/>
        </w:rPr>
        <w:t>; or</w:t>
      </w:r>
    </w:p>
    <w:p w:rsidR="00150D8E" w:rsidRPr="001612EB" w:rsidRDefault="00150D8E" w:rsidP="00BB1722">
      <w:pPr>
        <w:numPr>
          <w:ilvl w:val="0"/>
          <w:numId w:val="13"/>
        </w:numPr>
        <w:spacing w:before="120" w:line="276" w:lineRule="auto"/>
        <w:ind w:left="426"/>
        <w:rPr>
          <w:rFonts w:ascii="Arial Mäori" w:hAnsi="Arial Mäori"/>
          <w:b w:val="0"/>
          <w:i/>
          <w:szCs w:val="22"/>
          <w:lang w:eastAsia="en-GB"/>
        </w:rPr>
      </w:pPr>
      <w:r w:rsidRPr="001612EB">
        <w:rPr>
          <w:rFonts w:ascii="Arial Mäori" w:hAnsi="Arial Mäori"/>
          <w:b w:val="0"/>
          <w:i/>
          <w:szCs w:val="22"/>
          <w:lang w:eastAsia="en-GB"/>
        </w:rPr>
        <w:t>Customary marine title.</w:t>
      </w:r>
    </w:p>
    <w:p w:rsidR="003D48A7" w:rsidRDefault="003D48A7" w:rsidP="00515DC1">
      <w:pPr>
        <w:spacing w:before="120" w:line="276" w:lineRule="auto"/>
        <w:rPr>
          <w:rFonts w:ascii="Arial Mäori" w:hAnsi="Arial Mäori"/>
          <w:lang w:eastAsia="en-GB"/>
        </w:rPr>
      </w:pPr>
    </w:p>
    <w:p w:rsidR="00150D8E" w:rsidRPr="001612EB" w:rsidRDefault="00150D8E" w:rsidP="00515DC1">
      <w:pPr>
        <w:spacing w:before="120" w:line="276" w:lineRule="auto"/>
        <w:rPr>
          <w:rFonts w:ascii="Arial Mäori" w:hAnsi="Arial Mäori"/>
          <w:szCs w:val="22"/>
          <w:lang w:eastAsia="en-GB"/>
        </w:rPr>
      </w:pPr>
      <w:r w:rsidRPr="001612EB">
        <w:rPr>
          <w:rFonts w:ascii="Arial Mäori" w:hAnsi="Arial Mäori"/>
          <w:szCs w:val="22"/>
          <w:lang w:eastAsia="en-GB"/>
        </w:rPr>
        <w:t xml:space="preserve">Consequences of a grant in favour of </w:t>
      </w:r>
      <w:r w:rsidR="009939B7" w:rsidRPr="001612EB">
        <w:rPr>
          <w:rFonts w:ascii="Arial Mäori" w:hAnsi="Arial Mäori"/>
          <w:szCs w:val="22"/>
          <w:lang w:eastAsia="en-GB"/>
        </w:rPr>
        <w:t>Customary Marine Title</w:t>
      </w:r>
    </w:p>
    <w:p w:rsidR="00150D8E" w:rsidRPr="001612EB" w:rsidRDefault="00150D8E" w:rsidP="00515DC1">
      <w:pPr>
        <w:spacing w:before="120" w:line="276" w:lineRule="auto"/>
        <w:rPr>
          <w:rFonts w:ascii="Arial Mäori" w:hAnsi="Arial Mäori"/>
          <w:b w:val="0"/>
          <w:szCs w:val="22"/>
          <w:lang w:eastAsia="en-GB"/>
        </w:rPr>
      </w:pPr>
      <w:r w:rsidRPr="001612EB">
        <w:rPr>
          <w:rFonts w:ascii="Arial Mäori" w:hAnsi="Arial Mäori"/>
          <w:b w:val="0"/>
          <w:szCs w:val="22"/>
          <w:lang w:eastAsia="en-GB"/>
        </w:rPr>
        <w:t>Customary marine title is the ‘greatest’ of the three potential inter</w:t>
      </w:r>
      <w:r w:rsidR="00BB1722" w:rsidRPr="001612EB">
        <w:rPr>
          <w:rFonts w:ascii="Arial Mäori" w:hAnsi="Arial Mäori"/>
          <w:b w:val="0"/>
          <w:szCs w:val="22"/>
          <w:lang w:eastAsia="en-GB"/>
        </w:rPr>
        <w:t>ests under the Act and includes:</w:t>
      </w:r>
    </w:p>
    <w:p w:rsidR="00150D8E" w:rsidRPr="001612EB" w:rsidRDefault="00150D8E" w:rsidP="00BB1722">
      <w:pPr>
        <w:numPr>
          <w:ilvl w:val="0"/>
          <w:numId w:val="10"/>
        </w:numPr>
        <w:spacing w:before="120" w:line="276" w:lineRule="auto"/>
        <w:ind w:left="426"/>
        <w:rPr>
          <w:rFonts w:ascii="Arial Mäori" w:hAnsi="Arial Mäori"/>
          <w:b w:val="0"/>
          <w:i/>
          <w:szCs w:val="22"/>
          <w:lang w:eastAsia="en-GB"/>
        </w:rPr>
      </w:pPr>
      <w:r w:rsidRPr="001612EB">
        <w:rPr>
          <w:rFonts w:ascii="Arial Mäori" w:hAnsi="Arial Mäori"/>
          <w:b w:val="0"/>
          <w:i/>
          <w:szCs w:val="22"/>
          <w:lang w:eastAsia="en-GB"/>
        </w:rPr>
        <w:t>The right to permit (or withhold permission for) activities requiring resource consent in the area covered by the title (existing consented activities and some others are exempted from this)</w:t>
      </w:r>
      <w:r w:rsidR="00BB1722" w:rsidRPr="001612EB">
        <w:rPr>
          <w:rFonts w:ascii="Arial Mäori" w:hAnsi="Arial Mäori"/>
          <w:b w:val="0"/>
          <w:i/>
          <w:szCs w:val="22"/>
          <w:lang w:eastAsia="en-GB"/>
        </w:rPr>
        <w:t>;</w:t>
      </w:r>
    </w:p>
    <w:p w:rsidR="00150D8E" w:rsidRPr="001612EB" w:rsidRDefault="00150D8E" w:rsidP="00BB1722">
      <w:pPr>
        <w:numPr>
          <w:ilvl w:val="0"/>
          <w:numId w:val="10"/>
        </w:numPr>
        <w:spacing w:before="120" w:line="276" w:lineRule="auto"/>
        <w:ind w:left="426"/>
        <w:rPr>
          <w:rFonts w:ascii="Arial Mäori" w:hAnsi="Arial Mäori"/>
          <w:b w:val="0"/>
          <w:i/>
          <w:szCs w:val="22"/>
          <w:lang w:eastAsia="en-GB"/>
        </w:rPr>
      </w:pPr>
      <w:r w:rsidRPr="001612EB">
        <w:rPr>
          <w:rFonts w:ascii="Arial Mäori" w:hAnsi="Arial Mäori"/>
          <w:b w:val="0"/>
          <w:i/>
          <w:szCs w:val="22"/>
          <w:lang w:eastAsia="en-GB"/>
        </w:rPr>
        <w:t xml:space="preserve">The right to permit (or withhold permission for) certain conservation processes, </w:t>
      </w:r>
      <w:r w:rsidR="00F156C1" w:rsidRPr="001612EB">
        <w:rPr>
          <w:rFonts w:ascii="Arial Mäori" w:hAnsi="Arial Mäori"/>
          <w:b w:val="0"/>
          <w:i/>
          <w:szCs w:val="22"/>
          <w:lang w:eastAsia="en-GB"/>
        </w:rPr>
        <w:t>e.g.</w:t>
      </w:r>
      <w:r w:rsidRPr="001612EB">
        <w:rPr>
          <w:rFonts w:ascii="Arial Mäori" w:hAnsi="Arial Mäori"/>
          <w:b w:val="0"/>
          <w:i/>
          <w:szCs w:val="22"/>
          <w:lang w:eastAsia="en-GB"/>
        </w:rPr>
        <w:t xml:space="preserve"> the e</w:t>
      </w:r>
      <w:r w:rsidR="00BB1722" w:rsidRPr="001612EB">
        <w:rPr>
          <w:rFonts w:ascii="Arial Mäori" w:hAnsi="Arial Mäori"/>
          <w:b w:val="0"/>
          <w:i/>
          <w:szCs w:val="22"/>
          <w:lang w:eastAsia="en-GB"/>
        </w:rPr>
        <w:t>stablishment of marine reserves;</w:t>
      </w:r>
    </w:p>
    <w:p w:rsidR="00935098" w:rsidRDefault="00150D8E" w:rsidP="00BB1722">
      <w:pPr>
        <w:numPr>
          <w:ilvl w:val="0"/>
          <w:numId w:val="10"/>
        </w:numPr>
        <w:spacing w:before="120" w:line="276" w:lineRule="auto"/>
        <w:ind w:left="426"/>
        <w:rPr>
          <w:rFonts w:ascii="Arial Mäori" w:hAnsi="Arial Mäori"/>
          <w:b w:val="0"/>
          <w:i/>
          <w:szCs w:val="22"/>
          <w:lang w:eastAsia="en-GB"/>
        </w:rPr>
      </w:pPr>
      <w:r w:rsidRPr="001612EB">
        <w:rPr>
          <w:rFonts w:ascii="Arial Mäori" w:hAnsi="Arial Mäori"/>
          <w:b w:val="0"/>
          <w:i/>
          <w:szCs w:val="22"/>
          <w:lang w:eastAsia="en-GB"/>
        </w:rPr>
        <w:t xml:space="preserve">Input into the New Zealand Coastal Policy Statement and applications for marine mammal watching permits. </w:t>
      </w:r>
    </w:p>
    <w:p w:rsidR="00150D8E" w:rsidRPr="001612EB" w:rsidRDefault="00150D8E" w:rsidP="00BB1722">
      <w:pPr>
        <w:numPr>
          <w:ilvl w:val="0"/>
          <w:numId w:val="10"/>
        </w:numPr>
        <w:spacing w:before="120" w:line="276" w:lineRule="auto"/>
        <w:ind w:left="426"/>
        <w:rPr>
          <w:rFonts w:ascii="Arial Mäori" w:hAnsi="Arial Mäori"/>
          <w:b w:val="0"/>
          <w:i/>
          <w:szCs w:val="22"/>
          <w:lang w:eastAsia="en-GB"/>
        </w:rPr>
      </w:pPr>
      <w:r w:rsidRPr="001612EB">
        <w:rPr>
          <w:rFonts w:ascii="Arial Mäori" w:hAnsi="Arial Mäori"/>
          <w:b w:val="0"/>
          <w:i/>
          <w:szCs w:val="22"/>
          <w:lang w:eastAsia="en-GB"/>
        </w:rPr>
        <w:t xml:space="preserve">The ability to prohibit or restrict access to wāhi tapu within </w:t>
      </w:r>
      <w:r w:rsidR="003D48A7" w:rsidRPr="001612EB">
        <w:rPr>
          <w:rFonts w:ascii="Arial Mäori" w:hAnsi="Arial Mäori"/>
          <w:b w:val="0"/>
          <w:i/>
          <w:szCs w:val="22"/>
          <w:lang w:eastAsia="en-GB"/>
        </w:rPr>
        <w:t>the customary marine title area</w:t>
      </w:r>
      <w:r w:rsidR="00BB1722" w:rsidRPr="001612EB">
        <w:rPr>
          <w:rFonts w:ascii="Arial Mäori" w:hAnsi="Arial Mäori"/>
          <w:b w:val="0"/>
          <w:i/>
          <w:szCs w:val="22"/>
          <w:lang w:eastAsia="en-GB"/>
        </w:rPr>
        <w:t>;</w:t>
      </w:r>
    </w:p>
    <w:p w:rsidR="000924BB" w:rsidRPr="001612EB" w:rsidRDefault="00150D8E" w:rsidP="00BB1722">
      <w:pPr>
        <w:numPr>
          <w:ilvl w:val="0"/>
          <w:numId w:val="10"/>
        </w:numPr>
        <w:spacing w:before="120" w:line="276" w:lineRule="auto"/>
        <w:ind w:left="426"/>
        <w:rPr>
          <w:rFonts w:ascii="Arial Mäori" w:hAnsi="Arial Mäori"/>
          <w:b w:val="0"/>
          <w:i/>
          <w:szCs w:val="22"/>
          <w:lang w:eastAsia="en-GB"/>
        </w:rPr>
      </w:pPr>
      <w:r w:rsidRPr="001612EB">
        <w:rPr>
          <w:rFonts w:ascii="Arial Mäori" w:hAnsi="Arial Mäori"/>
          <w:b w:val="0"/>
          <w:i/>
          <w:szCs w:val="22"/>
          <w:lang w:eastAsia="en-GB"/>
        </w:rPr>
        <w:t>Prima facie ownership of taonga tūturu (historical artefacts) found in t</w:t>
      </w:r>
      <w:r w:rsidR="00BB1722" w:rsidRPr="001612EB">
        <w:rPr>
          <w:rFonts w:ascii="Arial Mäori" w:hAnsi="Arial Mäori"/>
          <w:b w:val="0"/>
          <w:i/>
          <w:szCs w:val="22"/>
          <w:lang w:eastAsia="en-GB"/>
        </w:rPr>
        <w:t>he customary marine title area;</w:t>
      </w:r>
    </w:p>
    <w:p w:rsidR="000924BB" w:rsidRPr="001612EB" w:rsidRDefault="00150D8E" w:rsidP="00BB1722">
      <w:pPr>
        <w:numPr>
          <w:ilvl w:val="0"/>
          <w:numId w:val="10"/>
        </w:numPr>
        <w:spacing w:before="120" w:line="276" w:lineRule="auto"/>
        <w:ind w:left="426"/>
        <w:rPr>
          <w:rFonts w:ascii="Arial Mäori" w:hAnsi="Arial Mäori"/>
          <w:b w:val="0"/>
          <w:i/>
          <w:szCs w:val="22"/>
          <w:lang w:eastAsia="en-GB"/>
        </w:rPr>
      </w:pPr>
      <w:r w:rsidRPr="001612EB">
        <w:rPr>
          <w:rFonts w:ascii="Arial Mäori" w:hAnsi="Arial Mäori"/>
          <w:b w:val="0"/>
          <w:i/>
          <w:szCs w:val="22"/>
          <w:lang w:eastAsia="en-GB"/>
        </w:rPr>
        <w:t xml:space="preserve">The ownership of non-nationalised minerals within </w:t>
      </w:r>
      <w:r w:rsidR="00BB1722" w:rsidRPr="001612EB">
        <w:rPr>
          <w:rFonts w:ascii="Arial Mäori" w:hAnsi="Arial Mäori"/>
          <w:b w:val="0"/>
          <w:i/>
          <w:szCs w:val="22"/>
          <w:lang w:eastAsia="en-GB"/>
        </w:rPr>
        <w:t>the customary marine title area; and</w:t>
      </w:r>
    </w:p>
    <w:p w:rsidR="00150D8E" w:rsidRPr="001612EB" w:rsidRDefault="00150D8E" w:rsidP="00BB1722">
      <w:pPr>
        <w:numPr>
          <w:ilvl w:val="0"/>
          <w:numId w:val="10"/>
        </w:numPr>
        <w:spacing w:before="120" w:line="276" w:lineRule="auto"/>
        <w:ind w:left="426"/>
        <w:rPr>
          <w:rFonts w:ascii="Arial Mäori" w:hAnsi="Arial Mäori"/>
          <w:b w:val="0"/>
          <w:i/>
          <w:szCs w:val="22"/>
          <w:lang w:eastAsia="en-GB"/>
        </w:rPr>
      </w:pPr>
      <w:r w:rsidRPr="001612EB">
        <w:rPr>
          <w:rFonts w:ascii="Arial Mäori" w:hAnsi="Arial Mäori"/>
          <w:b w:val="0"/>
          <w:i/>
          <w:szCs w:val="22"/>
          <w:lang w:eastAsia="en-GB"/>
        </w:rPr>
        <w:t>The right to prepare a planning document setting out the objectives and policies for the customary marine title area which would be recognised and provided for by the regional council in relatio</w:t>
      </w:r>
      <w:r w:rsidR="00BB1722" w:rsidRPr="001612EB">
        <w:rPr>
          <w:rFonts w:ascii="Arial Mäori" w:hAnsi="Arial Mäori"/>
          <w:b w:val="0"/>
          <w:i/>
          <w:szCs w:val="22"/>
          <w:lang w:eastAsia="en-GB"/>
        </w:rPr>
        <w:t>n to resource management issues.</w:t>
      </w:r>
    </w:p>
    <w:p w:rsidR="003D48A7" w:rsidRPr="001612EB" w:rsidRDefault="003D48A7" w:rsidP="00515DC1">
      <w:pPr>
        <w:spacing w:before="120" w:line="276" w:lineRule="auto"/>
        <w:rPr>
          <w:rFonts w:ascii="Arial Mäori" w:hAnsi="Arial Mäori"/>
          <w:i/>
          <w:sz w:val="16"/>
          <w:szCs w:val="16"/>
          <w:lang w:eastAsia="en-GB"/>
        </w:rPr>
      </w:pPr>
    </w:p>
    <w:p w:rsidR="00150D8E" w:rsidRPr="001612EB" w:rsidRDefault="00150D8E" w:rsidP="00515DC1">
      <w:pPr>
        <w:spacing w:before="120" w:line="276" w:lineRule="auto"/>
        <w:rPr>
          <w:rFonts w:ascii="Arial Mäori" w:hAnsi="Arial Mäori"/>
          <w:b w:val="0"/>
          <w:szCs w:val="22"/>
          <w:lang w:eastAsia="en-GB"/>
        </w:rPr>
      </w:pPr>
      <w:r w:rsidRPr="001612EB">
        <w:rPr>
          <w:rFonts w:ascii="Arial Mäori" w:hAnsi="Arial Mäori"/>
          <w:color w:val="FF0000"/>
          <w:szCs w:val="22"/>
          <w:lang w:eastAsia="en-GB"/>
        </w:rPr>
        <w:t>Customary marine title areas remain subject to the right of free public access, and public rights of fishing and navigation</w:t>
      </w:r>
      <w:r w:rsidRPr="001612EB">
        <w:rPr>
          <w:rFonts w:ascii="Arial Mäori" w:hAnsi="Arial Mäori"/>
          <w:b w:val="0"/>
          <w:color w:val="FF0000"/>
          <w:szCs w:val="22"/>
          <w:lang w:eastAsia="en-GB"/>
        </w:rPr>
        <w:t xml:space="preserve"> </w:t>
      </w:r>
      <w:r w:rsidRPr="001612EB">
        <w:rPr>
          <w:rFonts w:ascii="Arial Mäori" w:hAnsi="Arial Mäori"/>
          <w:b w:val="0"/>
          <w:szCs w:val="22"/>
          <w:lang w:eastAsia="en-GB"/>
        </w:rPr>
        <w:t>(except some wāhi tapu areas). Existing resource consents and other legal interests conti</w:t>
      </w:r>
      <w:r w:rsidR="00BB1722" w:rsidRPr="001612EB">
        <w:rPr>
          <w:rFonts w:ascii="Arial Mäori" w:hAnsi="Arial Mäori"/>
          <w:b w:val="0"/>
          <w:szCs w:val="22"/>
          <w:lang w:eastAsia="en-GB"/>
        </w:rPr>
        <w:t>nue until the end of their term.</w:t>
      </w:r>
    </w:p>
    <w:p w:rsidR="003D48A7" w:rsidRPr="001612EB" w:rsidRDefault="003D48A7" w:rsidP="00515DC1">
      <w:pPr>
        <w:pStyle w:val="BodyText"/>
        <w:spacing w:line="276" w:lineRule="auto"/>
        <w:rPr>
          <w:sz w:val="16"/>
          <w:szCs w:val="16"/>
          <w:lang w:val="en-US"/>
        </w:rPr>
      </w:pPr>
    </w:p>
    <w:p w:rsidR="00923A51" w:rsidRDefault="002D047B" w:rsidP="00515DC1">
      <w:pPr>
        <w:pStyle w:val="BodyText"/>
        <w:spacing w:line="276" w:lineRule="auto"/>
        <w:rPr>
          <w:szCs w:val="22"/>
        </w:rPr>
      </w:pPr>
      <w:r>
        <w:rPr>
          <w:szCs w:val="22"/>
        </w:rPr>
        <w:t>Te Rūnanga o Ngāi Tahu Application for Customary Marine Title</w:t>
      </w:r>
    </w:p>
    <w:p w:rsidR="002D047B" w:rsidRPr="00D81A04" w:rsidRDefault="00D81A04" w:rsidP="002D047B">
      <w:pPr>
        <w:pStyle w:val="BodyText"/>
        <w:numPr>
          <w:ilvl w:val="0"/>
          <w:numId w:val="14"/>
        </w:numPr>
        <w:spacing w:line="276" w:lineRule="auto"/>
        <w:rPr>
          <w:szCs w:val="22"/>
        </w:rPr>
      </w:pPr>
      <w:r>
        <w:rPr>
          <w:b w:val="0"/>
          <w:szCs w:val="22"/>
        </w:rPr>
        <w:t>Made on</w:t>
      </w:r>
      <w:r w:rsidR="00935098">
        <w:rPr>
          <w:b w:val="0"/>
          <w:szCs w:val="22"/>
        </w:rPr>
        <w:t xml:space="preserve"> behalf of all Ngāi Tahu whānui to ensure the statutory deadline was met.</w:t>
      </w:r>
    </w:p>
    <w:p w:rsidR="00D81A04" w:rsidRPr="00D81A04" w:rsidRDefault="00D81A04" w:rsidP="002D047B">
      <w:pPr>
        <w:pStyle w:val="BodyText"/>
        <w:numPr>
          <w:ilvl w:val="0"/>
          <w:numId w:val="14"/>
        </w:numPr>
        <w:spacing w:line="276" w:lineRule="auto"/>
        <w:rPr>
          <w:szCs w:val="22"/>
        </w:rPr>
      </w:pPr>
      <w:r>
        <w:rPr>
          <w:b w:val="0"/>
          <w:szCs w:val="22"/>
        </w:rPr>
        <w:t xml:space="preserve">Te Rūnanga </w:t>
      </w:r>
      <w:r w:rsidR="00935098">
        <w:rPr>
          <w:b w:val="0"/>
          <w:szCs w:val="22"/>
        </w:rPr>
        <w:t>will</w:t>
      </w:r>
      <w:r>
        <w:rPr>
          <w:b w:val="0"/>
          <w:szCs w:val="22"/>
        </w:rPr>
        <w:t xml:space="preserve"> work with </w:t>
      </w:r>
      <w:proofErr w:type="spellStart"/>
      <w:r>
        <w:rPr>
          <w:b w:val="0"/>
          <w:szCs w:val="22"/>
        </w:rPr>
        <w:t>rūnaka</w:t>
      </w:r>
      <w:proofErr w:type="spellEnd"/>
      <w:r>
        <w:rPr>
          <w:b w:val="0"/>
          <w:szCs w:val="22"/>
        </w:rPr>
        <w:t xml:space="preserve"> and land owners to ensure title of each area rests with mana whenua.</w:t>
      </w:r>
    </w:p>
    <w:p w:rsidR="00D81A04" w:rsidRPr="00D81A04" w:rsidRDefault="00D81A04" w:rsidP="002D047B">
      <w:pPr>
        <w:pStyle w:val="BodyText"/>
        <w:numPr>
          <w:ilvl w:val="0"/>
          <w:numId w:val="14"/>
        </w:numPr>
        <w:spacing w:line="276" w:lineRule="auto"/>
        <w:rPr>
          <w:szCs w:val="22"/>
        </w:rPr>
      </w:pPr>
      <w:r>
        <w:rPr>
          <w:b w:val="0"/>
          <w:szCs w:val="22"/>
        </w:rPr>
        <w:t>This application does not overlap and will not hinder any valid application made by Ngāi Tahu whānau in the Ngāi Tahu takiwā. Te Rūnanga support</w:t>
      </w:r>
      <w:r w:rsidR="00935098">
        <w:rPr>
          <w:b w:val="0"/>
          <w:szCs w:val="22"/>
        </w:rPr>
        <w:t>s</w:t>
      </w:r>
      <w:r>
        <w:rPr>
          <w:b w:val="0"/>
          <w:szCs w:val="22"/>
        </w:rPr>
        <w:t xml:space="preserve"> those applicants </w:t>
      </w:r>
      <w:r w:rsidR="00935098">
        <w:rPr>
          <w:b w:val="0"/>
          <w:szCs w:val="22"/>
        </w:rPr>
        <w:t>exercising their own mana</w:t>
      </w:r>
      <w:r>
        <w:rPr>
          <w:b w:val="0"/>
          <w:szCs w:val="22"/>
        </w:rPr>
        <w:t>.</w:t>
      </w:r>
    </w:p>
    <w:p w:rsidR="00D81A04" w:rsidRPr="002D047B" w:rsidRDefault="00D81A04" w:rsidP="002D047B">
      <w:pPr>
        <w:pStyle w:val="BodyText"/>
        <w:numPr>
          <w:ilvl w:val="0"/>
          <w:numId w:val="14"/>
        </w:numPr>
        <w:spacing w:line="276" w:lineRule="auto"/>
        <w:rPr>
          <w:szCs w:val="22"/>
        </w:rPr>
      </w:pPr>
      <w:r>
        <w:rPr>
          <w:b w:val="0"/>
          <w:szCs w:val="22"/>
        </w:rPr>
        <w:t>Te Rūnanga has applied for both</w:t>
      </w:r>
      <w:r w:rsidR="00935098">
        <w:rPr>
          <w:b w:val="0"/>
          <w:szCs w:val="22"/>
        </w:rPr>
        <w:t xml:space="preserve"> formal</w:t>
      </w:r>
      <w:r>
        <w:rPr>
          <w:b w:val="0"/>
          <w:szCs w:val="22"/>
        </w:rPr>
        <w:t xml:space="preserve"> pathways</w:t>
      </w:r>
      <w:r w:rsidR="00935098">
        <w:rPr>
          <w:b w:val="0"/>
          <w:szCs w:val="22"/>
        </w:rPr>
        <w:t xml:space="preserve"> provided by the Act</w:t>
      </w:r>
      <w:bookmarkStart w:id="0" w:name="_GoBack"/>
      <w:bookmarkEnd w:id="0"/>
      <w:r>
        <w:rPr>
          <w:b w:val="0"/>
          <w:szCs w:val="22"/>
        </w:rPr>
        <w:t>, direct negotiation with the Minister for Treaty Settlements, and the High Court. As the kaupapa progresses the best pathway for each area will be taken.</w:t>
      </w:r>
    </w:p>
    <w:p w:rsidR="00740EFD" w:rsidRDefault="00740EFD" w:rsidP="00BB1722">
      <w:pPr>
        <w:spacing w:line="276" w:lineRule="auto"/>
        <w:jc w:val="center"/>
      </w:pPr>
    </w:p>
    <w:sectPr w:rsidR="00740EFD" w:rsidSect="001612EB">
      <w:headerReference w:type="first" r:id="rId8"/>
      <w:pgSz w:w="11907" w:h="16840" w:code="9"/>
      <w:pgMar w:top="851" w:right="1440" w:bottom="142" w:left="1440" w:header="720" w:footer="83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E9" w:rsidRDefault="008973E9" w:rsidP="00BB1722">
      <w:r>
        <w:separator/>
      </w:r>
    </w:p>
  </w:endnote>
  <w:endnote w:type="continuationSeparator" w:id="0">
    <w:p w:rsidR="008973E9" w:rsidRDefault="008973E9" w:rsidP="00BB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Mäori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E9" w:rsidRDefault="008973E9" w:rsidP="00BB1722">
      <w:r>
        <w:separator/>
      </w:r>
    </w:p>
  </w:footnote>
  <w:footnote w:type="continuationSeparator" w:id="0">
    <w:p w:rsidR="008973E9" w:rsidRDefault="008973E9" w:rsidP="00BB1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E9" w:rsidRPr="003D48A7" w:rsidRDefault="008973E9" w:rsidP="00BB1722">
    <w:pPr>
      <w:spacing w:before="120" w:line="276" w:lineRule="auto"/>
      <w:jc w:val="center"/>
      <w:rPr>
        <w:rFonts w:ascii="Arial Mäori" w:hAnsi="Arial Mäori"/>
        <w:sz w:val="28"/>
        <w:szCs w:val="28"/>
        <w:lang w:eastAsia="en-GB"/>
      </w:rPr>
    </w:pPr>
    <w:r>
      <w:rPr>
        <w:rFonts w:ascii="Arial Mäori" w:hAnsi="Arial Mäori"/>
        <w:sz w:val="28"/>
        <w:szCs w:val="28"/>
        <w:lang w:eastAsia="en-GB"/>
      </w:rPr>
      <w:t>Customary Marine Title</w:t>
    </w:r>
  </w:p>
  <w:p w:rsidR="008973E9" w:rsidRDefault="008973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506"/>
    <w:multiLevelType w:val="hybridMultilevel"/>
    <w:tmpl w:val="E7DEC260"/>
    <w:lvl w:ilvl="0" w:tplc="1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9472E"/>
    <w:multiLevelType w:val="hybridMultilevel"/>
    <w:tmpl w:val="0C880AE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C67F82"/>
    <w:multiLevelType w:val="multilevel"/>
    <w:tmpl w:val="F4C4B7F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2D681DE2"/>
    <w:multiLevelType w:val="hybridMultilevel"/>
    <w:tmpl w:val="3F585C4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9A0E77"/>
    <w:multiLevelType w:val="multilevel"/>
    <w:tmpl w:val="567084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367970AD"/>
    <w:multiLevelType w:val="hybridMultilevel"/>
    <w:tmpl w:val="0868DF1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09417F"/>
    <w:multiLevelType w:val="hybridMultilevel"/>
    <w:tmpl w:val="AFD4DB40"/>
    <w:lvl w:ilvl="0" w:tplc="1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45D9568B"/>
    <w:multiLevelType w:val="multilevel"/>
    <w:tmpl w:val="922A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483700"/>
    <w:multiLevelType w:val="hybridMultilevel"/>
    <w:tmpl w:val="C1B83FAE"/>
    <w:lvl w:ilvl="0" w:tplc="7312E8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A35E1C"/>
    <w:multiLevelType w:val="hybridMultilevel"/>
    <w:tmpl w:val="2C30BAD4"/>
    <w:lvl w:ilvl="0" w:tplc="1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5426EA"/>
    <w:multiLevelType w:val="hybridMultilevel"/>
    <w:tmpl w:val="28468E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F7C3D"/>
    <w:multiLevelType w:val="hybridMultilevel"/>
    <w:tmpl w:val="1BB2C0AC"/>
    <w:lvl w:ilvl="0" w:tplc="1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8D388E"/>
    <w:multiLevelType w:val="hybridMultilevel"/>
    <w:tmpl w:val="B22A82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06C90"/>
    <w:multiLevelType w:val="hybridMultilevel"/>
    <w:tmpl w:val="1CD43270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8E"/>
    <w:rsid w:val="000924BB"/>
    <w:rsid w:val="00150D8E"/>
    <w:rsid w:val="001612EB"/>
    <w:rsid w:val="002D047B"/>
    <w:rsid w:val="00357A98"/>
    <w:rsid w:val="003D48A7"/>
    <w:rsid w:val="003E67FE"/>
    <w:rsid w:val="00515DC1"/>
    <w:rsid w:val="00584CE6"/>
    <w:rsid w:val="00740EFD"/>
    <w:rsid w:val="008973E9"/>
    <w:rsid w:val="00923A51"/>
    <w:rsid w:val="00935098"/>
    <w:rsid w:val="009939B7"/>
    <w:rsid w:val="00A67AB5"/>
    <w:rsid w:val="00B97AF9"/>
    <w:rsid w:val="00BB1722"/>
    <w:rsid w:val="00BF69D0"/>
    <w:rsid w:val="00C01DBE"/>
    <w:rsid w:val="00CD63F8"/>
    <w:rsid w:val="00D81A04"/>
    <w:rsid w:val="00F1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8E"/>
    <w:pPr>
      <w:spacing w:after="0" w:line="240" w:lineRule="auto"/>
      <w:jc w:val="both"/>
    </w:pPr>
    <w:rPr>
      <w:rFonts w:ascii="Albertus Extra Bold" w:eastAsia="Times New Roman" w:hAnsi="Albertus Extra Bold" w:cs="Times New Roman"/>
      <w:b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150D8E"/>
    <w:pPr>
      <w:spacing w:before="120" w:after="0" w:line="240" w:lineRule="auto"/>
      <w:jc w:val="both"/>
    </w:pPr>
    <w:rPr>
      <w:rFonts w:ascii="Arial Mäori" w:eastAsia="Times New Roman" w:hAnsi="Arial Mäori" w:cs="Times New Roman"/>
      <w:b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150D8E"/>
    <w:rPr>
      <w:rFonts w:ascii="Arial Mäori" w:eastAsia="Times New Roman" w:hAnsi="Arial Mäori" w:cs="Times New Roman"/>
      <w:b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24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51"/>
    <w:rPr>
      <w:rFonts w:ascii="Tahoma" w:eastAsia="Times New Roman" w:hAnsi="Tahoma" w:cs="Tahoma"/>
      <w:b/>
      <w:sz w:val="16"/>
      <w:szCs w:val="16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BB17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722"/>
    <w:rPr>
      <w:rFonts w:ascii="Albertus Extra Bold" w:eastAsia="Times New Roman" w:hAnsi="Albertus Extra Bold" w:cs="Times New Roman"/>
      <w:b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BB17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722"/>
    <w:rPr>
      <w:rFonts w:ascii="Albertus Extra Bold" w:eastAsia="Times New Roman" w:hAnsi="Albertus Extra Bold" w:cs="Times New Roman"/>
      <w:b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8E"/>
    <w:pPr>
      <w:spacing w:after="0" w:line="240" w:lineRule="auto"/>
      <w:jc w:val="both"/>
    </w:pPr>
    <w:rPr>
      <w:rFonts w:ascii="Albertus Extra Bold" w:eastAsia="Times New Roman" w:hAnsi="Albertus Extra Bold" w:cs="Times New Roman"/>
      <w:b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150D8E"/>
    <w:pPr>
      <w:spacing w:before="120" w:after="0" w:line="240" w:lineRule="auto"/>
      <w:jc w:val="both"/>
    </w:pPr>
    <w:rPr>
      <w:rFonts w:ascii="Arial Mäori" w:eastAsia="Times New Roman" w:hAnsi="Arial Mäori" w:cs="Times New Roman"/>
      <w:b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150D8E"/>
    <w:rPr>
      <w:rFonts w:ascii="Arial Mäori" w:eastAsia="Times New Roman" w:hAnsi="Arial Mäori" w:cs="Times New Roman"/>
      <w:b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24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51"/>
    <w:rPr>
      <w:rFonts w:ascii="Tahoma" w:eastAsia="Times New Roman" w:hAnsi="Tahoma" w:cs="Tahoma"/>
      <w:b/>
      <w:sz w:val="16"/>
      <w:szCs w:val="16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BB17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722"/>
    <w:rPr>
      <w:rFonts w:ascii="Albertus Extra Bold" w:eastAsia="Times New Roman" w:hAnsi="Albertus Extra Bold" w:cs="Times New Roman"/>
      <w:b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BB17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722"/>
    <w:rPr>
      <w:rFonts w:ascii="Albertus Extra Bold" w:eastAsia="Times New Roman" w:hAnsi="Albertus Extra Bold" w:cs="Times New Roman"/>
      <w:b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38FD6472</Template>
  <TotalTime>105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Brankin</dc:creator>
  <cp:lastModifiedBy>Chris Brankin</cp:lastModifiedBy>
  <cp:revision>4</cp:revision>
  <cp:lastPrinted>2015-04-23T23:57:00Z</cp:lastPrinted>
  <dcterms:created xsi:type="dcterms:W3CDTF">2017-05-03T03:21:00Z</dcterms:created>
  <dcterms:modified xsi:type="dcterms:W3CDTF">2017-05-03T22:58:00Z</dcterms:modified>
</cp:coreProperties>
</file>